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70C" w:rsidRPr="00F8470C" w:rsidRDefault="00F8470C" w:rsidP="00056586">
      <w:pPr>
        <w:pStyle w:val="Titre2"/>
      </w:pPr>
      <w:r w:rsidRPr="00F8470C">
        <w:t>Figure 2- source data 1: Reagents used for Figure 2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/>
      </w:tblPr>
      <w:tblGrid>
        <w:gridCol w:w="3094"/>
        <w:gridCol w:w="3093"/>
        <w:gridCol w:w="3095"/>
      </w:tblGrid>
      <w:tr w:rsidR="00F8470C" w:rsidRPr="00F8470C">
        <w:tc>
          <w:tcPr>
            <w:tcW w:w="1667" w:type="pct"/>
          </w:tcPr>
          <w:p w:rsidR="00F8470C" w:rsidRPr="00F8470C" w:rsidRDefault="00F8470C" w:rsidP="00056586">
            <w:pPr>
              <w:pStyle w:val="Sansinterligne"/>
              <w:spacing w:line="360" w:lineRule="auto"/>
              <w:jc w:val="both"/>
              <w:rPr>
                <w:b/>
              </w:rPr>
            </w:pPr>
            <w:r w:rsidRPr="00F8470C">
              <w:rPr>
                <w:b/>
              </w:rPr>
              <w:t>Drug</w:t>
            </w:r>
          </w:p>
          <w:p w:rsidR="00F8470C" w:rsidRPr="00F8470C" w:rsidRDefault="00F8470C" w:rsidP="00056586">
            <w:pPr>
              <w:pStyle w:val="Sansinterligne"/>
              <w:spacing w:line="360" w:lineRule="auto"/>
              <w:jc w:val="both"/>
              <w:rPr>
                <w:b/>
              </w:rPr>
            </w:pPr>
            <w:r w:rsidRPr="00F8470C">
              <w:rPr>
                <w:b/>
              </w:rPr>
              <w:t>(molecular weight, kDa)</w:t>
            </w:r>
          </w:p>
        </w:tc>
        <w:tc>
          <w:tcPr>
            <w:tcW w:w="1666" w:type="pct"/>
          </w:tcPr>
          <w:p w:rsidR="00F8470C" w:rsidRPr="00F8470C" w:rsidRDefault="00F8470C" w:rsidP="00056586">
            <w:pPr>
              <w:pStyle w:val="Sansinterligne"/>
              <w:spacing w:line="360" w:lineRule="auto"/>
              <w:jc w:val="both"/>
              <w:rPr>
                <w:b/>
              </w:rPr>
            </w:pPr>
            <w:r w:rsidRPr="00F8470C">
              <w:rPr>
                <w:b/>
              </w:rPr>
              <w:t>Selectivity</w:t>
            </w:r>
          </w:p>
        </w:tc>
        <w:tc>
          <w:tcPr>
            <w:tcW w:w="1667" w:type="pct"/>
          </w:tcPr>
          <w:p w:rsidR="00F8470C" w:rsidRPr="00F8470C" w:rsidRDefault="00F8470C" w:rsidP="00056586">
            <w:pPr>
              <w:pStyle w:val="Sansinterligne"/>
              <w:spacing w:line="360" w:lineRule="auto"/>
              <w:jc w:val="center"/>
              <w:rPr>
                <w:b/>
                <w:lang w:val="en-US"/>
              </w:rPr>
            </w:pPr>
            <w:r w:rsidRPr="00F8470C">
              <w:rPr>
                <w:b/>
                <w:lang w:val="en-US"/>
              </w:rPr>
              <w:t>Final concentration</w:t>
            </w:r>
          </w:p>
          <w:p w:rsidR="00F8470C" w:rsidRPr="00F8470C" w:rsidRDefault="00F8470C" w:rsidP="00056586">
            <w:pPr>
              <w:pStyle w:val="Sansinterligne"/>
              <w:spacing w:line="360" w:lineRule="auto"/>
              <w:jc w:val="center"/>
              <w:rPr>
                <w:b/>
                <w:lang w:val="en-US"/>
              </w:rPr>
            </w:pPr>
            <w:r w:rsidRPr="00F8470C">
              <w:rPr>
                <w:b/>
                <w:lang w:val="en-US"/>
              </w:rPr>
              <w:t>(duration of superfusion)</w:t>
            </w:r>
          </w:p>
        </w:tc>
      </w:tr>
      <w:tr w:rsidR="00F8470C" w:rsidRPr="00F8470C">
        <w:tc>
          <w:tcPr>
            <w:tcW w:w="1667" w:type="pct"/>
          </w:tcPr>
          <w:p w:rsidR="00F8470C" w:rsidRPr="00F8470C" w:rsidRDefault="00F8470C" w:rsidP="00056586">
            <w:pPr>
              <w:pStyle w:val="Sansinterligne"/>
              <w:spacing w:line="360" w:lineRule="auto"/>
              <w:jc w:val="both"/>
              <w:rPr>
                <w:b/>
              </w:rPr>
            </w:pPr>
            <w:r w:rsidRPr="00F8470C">
              <w:rPr>
                <w:rFonts w:cs="AdvPTimes"/>
                <w:b/>
              </w:rPr>
              <w:t>GW413333X</w:t>
            </w:r>
          </w:p>
        </w:tc>
        <w:tc>
          <w:tcPr>
            <w:tcW w:w="1666" w:type="pct"/>
          </w:tcPr>
          <w:p w:rsidR="00F8470C" w:rsidRPr="00F8470C" w:rsidRDefault="00F8470C" w:rsidP="00056586">
            <w:pPr>
              <w:pStyle w:val="Sansinterligne"/>
              <w:spacing w:line="360" w:lineRule="auto"/>
              <w:jc w:val="both"/>
            </w:pPr>
            <w:r w:rsidRPr="00F8470C">
              <w:t>ADAM10/ADAM17 inhibitor</w:t>
            </w:r>
          </w:p>
        </w:tc>
        <w:tc>
          <w:tcPr>
            <w:tcW w:w="1667" w:type="pct"/>
          </w:tcPr>
          <w:p w:rsidR="00F8470C" w:rsidRPr="00F8470C" w:rsidRDefault="00F8470C" w:rsidP="00056586">
            <w:pPr>
              <w:pStyle w:val="Sansinterligne"/>
              <w:spacing w:line="360" w:lineRule="auto"/>
              <w:jc w:val="center"/>
              <w:rPr>
                <w:color w:val="000000"/>
              </w:rPr>
            </w:pPr>
            <w:r w:rsidRPr="00F8470C">
              <w:rPr>
                <w:color w:val="000000"/>
              </w:rPr>
              <w:t>5µM</w:t>
            </w:r>
          </w:p>
          <w:p w:rsidR="00F8470C" w:rsidRPr="00F8470C" w:rsidRDefault="00F8470C" w:rsidP="00056586">
            <w:pPr>
              <w:pStyle w:val="Sansinterligne"/>
              <w:spacing w:line="360" w:lineRule="auto"/>
              <w:jc w:val="center"/>
              <w:rPr>
                <w:color w:val="000000"/>
              </w:rPr>
            </w:pPr>
            <w:r w:rsidRPr="00F8470C">
              <w:rPr>
                <w:color w:val="000000"/>
              </w:rPr>
              <w:t>(</w:t>
            </w:r>
            <w:r w:rsidRPr="00F8470C">
              <w:t>30 min)</w:t>
            </w:r>
          </w:p>
          <w:p w:rsidR="00F8470C" w:rsidRPr="00F8470C" w:rsidRDefault="00F8470C" w:rsidP="00056586">
            <w:pPr>
              <w:pStyle w:val="Sansinterligne"/>
              <w:spacing w:line="360" w:lineRule="auto"/>
              <w:jc w:val="center"/>
            </w:pPr>
          </w:p>
        </w:tc>
      </w:tr>
      <w:tr w:rsidR="00F8470C" w:rsidRPr="00F8470C">
        <w:tc>
          <w:tcPr>
            <w:tcW w:w="1667" w:type="pct"/>
          </w:tcPr>
          <w:p w:rsidR="00F8470C" w:rsidRPr="00F8470C" w:rsidRDefault="00F8470C" w:rsidP="00056586">
            <w:pPr>
              <w:pStyle w:val="Sansinterligne"/>
              <w:spacing w:line="360" w:lineRule="auto"/>
              <w:jc w:val="both"/>
              <w:rPr>
                <w:b/>
              </w:rPr>
            </w:pPr>
            <w:r w:rsidRPr="00F8470C">
              <w:rPr>
                <w:rFonts w:cs="AdvPTimes"/>
                <w:b/>
              </w:rPr>
              <w:t>GI254023X</w:t>
            </w:r>
          </w:p>
        </w:tc>
        <w:tc>
          <w:tcPr>
            <w:tcW w:w="1666" w:type="pct"/>
          </w:tcPr>
          <w:p w:rsidR="00F8470C" w:rsidRPr="00F8470C" w:rsidRDefault="00F8470C" w:rsidP="00056586">
            <w:pPr>
              <w:pStyle w:val="Sansinterligne"/>
              <w:spacing w:line="360" w:lineRule="auto"/>
              <w:jc w:val="both"/>
            </w:pPr>
            <w:r w:rsidRPr="00F8470C">
              <w:t>ADAM10 inhibitor</w:t>
            </w:r>
          </w:p>
        </w:tc>
        <w:tc>
          <w:tcPr>
            <w:tcW w:w="1667" w:type="pct"/>
          </w:tcPr>
          <w:p w:rsidR="00F8470C" w:rsidRPr="00F8470C" w:rsidRDefault="00F8470C" w:rsidP="00056586">
            <w:pPr>
              <w:pStyle w:val="Sansinterligne"/>
              <w:spacing w:line="360" w:lineRule="auto"/>
              <w:jc w:val="center"/>
              <w:rPr>
                <w:color w:val="000000"/>
              </w:rPr>
            </w:pPr>
            <w:r w:rsidRPr="00F8470C">
              <w:rPr>
                <w:color w:val="000000"/>
              </w:rPr>
              <w:t>5-20µM</w:t>
            </w:r>
          </w:p>
          <w:p w:rsidR="00F8470C" w:rsidRPr="00F8470C" w:rsidRDefault="00F8470C" w:rsidP="00056586">
            <w:pPr>
              <w:pStyle w:val="Sansinterligne"/>
              <w:spacing w:line="360" w:lineRule="auto"/>
              <w:jc w:val="center"/>
              <w:rPr>
                <w:color w:val="000000"/>
              </w:rPr>
            </w:pPr>
            <w:r w:rsidRPr="00F8470C">
              <w:rPr>
                <w:color w:val="000000"/>
              </w:rPr>
              <w:t>(</w:t>
            </w:r>
            <w:r w:rsidRPr="00F8470C">
              <w:t>30 min)</w:t>
            </w:r>
          </w:p>
          <w:p w:rsidR="00F8470C" w:rsidRPr="00F8470C" w:rsidRDefault="00F8470C" w:rsidP="00056586">
            <w:pPr>
              <w:pStyle w:val="Sansinterligne"/>
              <w:spacing w:line="360" w:lineRule="auto"/>
              <w:jc w:val="center"/>
            </w:pPr>
          </w:p>
        </w:tc>
      </w:tr>
      <w:tr w:rsidR="00F8470C" w:rsidRPr="00F8470C">
        <w:tc>
          <w:tcPr>
            <w:tcW w:w="1667" w:type="pct"/>
          </w:tcPr>
          <w:p w:rsidR="00F8470C" w:rsidRPr="00F8470C" w:rsidRDefault="00F8470C" w:rsidP="00056586">
            <w:pPr>
              <w:pStyle w:val="Sansinterligne"/>
              <w:spacing w:line="360" w:lineRule="auto"/>
              <w:jc w:val="both"/>
              <w:rPr>
                <w:b/>
                <w:lang w:val="en-US"/>
              </w:rPr>
            </w:pPr>
            <w:r w:rsidRPr="00F8470C">
              <w:rPr>
                <w:b/>
                <w:lang w:val="en-US"/>
              </w:rPr>
              <w:t xml:space="preserve">Soluble ectodomain </w:t>
            </w:r>
          </w:p>
          <w:p w:rsidR="00F8470C" w:rsidRPr="00F8470C" w:rsidRDefault="00F8470C" w:rsidP="00056586">
            <w:pPr>
              <w:pStyle w:val="Sansinterligne"/>
              <w:spacing w:line="360" w:lineRule="auto"/>
              <w:jc w:val="both"/>
              <w:rPr>
                <w:b/>
                <w:lang w:val="en-US"/>
              </w:rPr>
            </w:pPr>
            <w:r w:rsidRPr="00F8470C">
              <w:rPr>
                <w:b/>
                <w:lang w:val="en-US"/>
              </w:rPr>
              <w:t>of human ADAM17</w:t>
            </w:r>
          </w:p>
          <w:p w:rsidR="00F8470C" w:rsidRPr="00F8470C" w:rsidRDefault="00F8470C" w:rsidP="00056586">
            <w:pPr>
              <w:pStyle w:val="Sansinterligne"/>
              <w:spacing w:line="360" w:lineRule="auto"/>
              <w:jc w:val="both"/>
              <w:rPr>
                <w:b/>
                <w:lang w:val="en-US"/>
              </w:rPr>
            </w:pPr>
            <w:r w:rsidRPr="00F8470C">
              <w:rPr>
                <w:b/>
                <w:lang w:val="en-US"/>
              </w:rPr>
              <w:t>(64 kDa)</w:t>
            </w:r>
          </w:p>
        </w:tc>
        <w:tc>
          <w:tcPr>
            <w:tcW w:w="1666" w:type="pct"/>
          </w:tcPr>
          <w:p w:rsidR="00F8470C" w:rsidRPr="00F8470C" w:rsidRDefault="00F8470C" w:rsidP="00056586">
            <w:pPr>
              <w:pStyle w:val="Sansinterligne"/>
              <w:spacing w:line="360" w:lineRule="auto"/>
              <w:jc w:val="both"/>
            </w:pPr>
            <w:r w:rsidRPr="00F8470C">
              <w:t xml:space="preserve">ADAM17 substrates </w:t>
            </w:r>
          </w:p>
        </w:tc>
        <w:tc>
          <w:tcPr>
            <w:tcW w:w="1667" w:type="pct"/>
          </w:tcPr>
          <w:p w:rsidR="00F8470C" w:rsidRPr="00F8470C" w:rsidRDefault="00F8470C" w:rsidP="00056586">
            <w:pPr>
              <w:pStyle w:val="Sansinterligne"/>
              <w:spacing w:line="360" w:lineRule="auto"/>
              <w:jc w:val="center"/>
              <w:rPr>
                <w:color w:val="000000"/>
              </w:rPr>
            </w:pPr>
            <w:r w:rsidRPr="00F8470C">
              <w:rPr>
                <w:color w:val="000000"/>
              </w:rPr>
              <w:t>16 nM</w:t>
            </w:r>
          </w:p>
          <w:p w:rsidR="00F8470C" w:rsidRPr="00F8470C" w:rsidRDefault="00F8470C" w:rsidP="00056586">
            <w:pPr>
              <w:pStyle w:val="Sansinterligne"/>
              <w:spacing w:line="360" w:lineRule="auto"/>
              <w:jc w:val="center"/>
            </w:pPr>
            <w:r w:rsidRPr="00F8470C">
              <w:rPr>
                <w:color w:val="000000"/>
              </w:rPr>
              <w:t>(</w:t>
            </w:r>
            <w:r w:rsidRPr="00F8470C">
              <w:t>30 min)</w:t>
            </w:r>
          </w:p>
        </w:tc>
      </w:tr>
    </w:tbl>
    <w:p w:rsidR="00791E02" w:rsidRPr="00F8470C" w:rsidRDefault="00056586" w:rsidP="00056586">
      <w:pPr>
        <w:spacing w:line="360" w:lineRule="auto"/>
        <w:rPr>
          <w:rFonts w:asciiTheme="majorHAnsi" w:hAnsiTheme="majorHAnsi"/>
        </w:rPr>
      </w:pPr>
    </w:p>
    <w:sectPr w:rsidR="00791E02" w:rsidRPr="00F8470C" w:rsidSect="00A439D6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dvPTime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8470C"/>
    <w:rsid w:val="00056586"/>
    <w:rsid w:val="00770BA0"/>
    <w:rsid w:val="00F8470C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70C"/>
    <w:pPr>
      <w:spacing w:after="160" w:line="259" w:lineRule="auto"/>
    </w:pPr>
    <w:rPr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8470C"/>
    <w:pPr>
      <w:spacing w:before="360" w:after="120" w:line="360" w:lineRule="auto"/>
      <w:jc w:val="both"/>
      <w:outlineLvl w:val="1"/>
    </w:pPr>
    <w:rPr>
      <w:rFonts w:asciiTheme="majorHAnsi" w:hAnsiTheme="majorHAnsi"/>
      <w:b/>
      <w:szCs w:val="24"/>
      <w:lang w:val="en-US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F8470C"/>
    <w:rPr>
      <w:rFonts w:asciiTheme="majorHAnsi" w:hAnsiTheme="majorHAnsi"/>
      <w:b/>
      <w:sz w:val="22"/>
      <w:lang w:val="en-US"/>
    </w:rPr>
  </w:style>
  <w:style w:type="paragraph" w:styleId="Sansinterligne">
    <w:name w:val="No Spacing"/>
    <w:uiPriority w:val="1"/>
    <w:qFormat/>
    <w:rsid w:val="00F8470C"/>
    <w:pPr>
      <w:spacing w:after="0"/>
    </w:pPr>
    <w:rPr>
      <w:rFonts w:asciiTheme="majorHAnsi" w:hAnsiTheme="majorHAns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259</Characters>
  <Application>Microsoft Macintosh Word</Application>
  <DocSecurity>0</DocSecurity>
  <Lines>2</Lines>
  <Paragraphs>1</Paragraphs>
  <ScaleCrop>false</ScaleCrop>
  <Company>Inserm U740</Company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Joutel</dc:creator>
  <cp:keywords/>
  <cp:lastModifiedBy>Anne Joutel</cp:lastModifiedBy>
  <cp:revision>2</cp:revision>
  <dcterms:created xsi:type="dcterms:W3CDTF">2016-07-25T16:13:00Z</dcterms:created>
  <dcterms:modified xsi:type="dcterms:W3CDTF">2016-07-25T17:42:00Z</dcterms:modified>
</cp:coreProperties>
</file>