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BC1A0" w14:textId="20FADB20" w:rsidR="00706FF3" w:rsidRPr="002F5F96" w:rsidRDefault="002F5F96" w:rsidP="00706FF3">
      <w:pPr>
        <w:bidi w:val="0"/>
        <w:ind w:left="-567"/>
        <w:rPr>
          <w:rFonts w:cs="Times New Roman"/>
          <w:b/>
        </w:rPr>
      </w:pPr>
      <w:r w:rsidRPr="002F5F96">
        <w:rPr>
          <w:rFonts w:cs="Times New Roman"/>
          <w:b/>
        </w:rPr>
        <w:t xml:space="preserve">Supplementary </w:t>
      </w:r>
      <w:r w:rsidR="00706FF3">
        <w:rPr>
          <w:rFonts w:cs="Times New Roman"/>
          <w:b/>
        </w:rPr>
        <w:t>File</w:t>
      </w:r>
      <w:r w:rsidRPr="002F5F96">
        <w:rPr>
          <w:rFonts w:cs="Times New Roman"/>
          <w:b/>
        </w:rPr>
        <w:t xml:space="preserve"> 1</w:t>
      </w:r>
    </w:p>
    <w:p w14:paraId="5FBFDA1C" w14:textId="77777777" w:rsidR="00706FF3" w:rsidRPr="002F5F96" w:rsidRDefault="00706FF3" w:rsidP="00706FF3">
      <w:pPr>
        <w:bidi w:val="0"/>
        <w:ind w:left="-567"/>
        <w:rPr>
          <w:rFonts w:cs="Times New Roman"/>
          <w:b/>
        </w:rPr>
      </w:pPr>
    </w:p>
    <w:tbl>
      <w:tblPr>
        <w:tblpPr w:leftFromText="180" w:rightFromText="180" w:vertAnchor="page" w:horzAnchor="margin" w:tblpXSpec="center" w:tblpY="2101"/>
        <w:tblW w:w="9322" w:type="dxa"/>
        <w:tblLayout w:type="fixed"/>
        <w:tblLook w:val="04A0" w:firstRow="1" w:lastRow="0" w:firstColumn="1" w:lastColumn="0" w:noHBand="0" w:noVBand="1"/>
      </w:tblPr>
      <w:tblGrid>
        <w:gridCol w:w="708"/>
        <w:gridCol w:w="1740"/>
        <w:gridCol w:w="990"/>
        <w:gridCol w:w="1260"/>
        <w:gridCol w:w="990"/>
        <w:gridCol w:w="1350"/>
        <w:gridCol w:w="1170"/>
        <w:gridCol w:w="1114"/>
      </w:tblGrid>
      <w:tr w:rsidR="00706FF3" w:rsidRPr="002F5F96" w14:paraId="1F47C26E" w14:textId="77777777" w:rsidTr="00706FF3">
        <w:trPr>
          <w:trHeight w:val="259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41F" w14:textId="75D0E88B" w:rsidR="00706FF3" w:rsidRPr="002F5F96" w:rsidRDefault="00706FF3" w:rsidP="00B6505B">
            <w:pPr>
              <w:bidi w:val="0"/>
              <w:ind w:left="30"/>
              <w:rPr>
                <w:rFonts w:cs="Times New Roman"/>
                <w:b/>
                <w:color w:val="000000" w:themeColor="text1"/>
              </w:rPr>
            </w:pPr>
            <w:r w:rsidRPr="002F5F96">
              <w:rPr>
                <w:rFonts w:cs="Times New Roman"/>
                <w:b/>
                <w:color w:val="000000" w:themeColor="text1"/>
              </w:rPr>
              <w:t xml:space="preserve">Supplementary </w:t>
            </w:r>
            <w:r w:rsidR="00B6505B">
              <w:rPr>
                <w:rFonts w:cs="Times New Roman"/>
                <w:b/>
                <w:color w:val="000000" w:themeColor="text1"/>
              </w:rPr>
              <w:t>F</w:t>
            </w:r>
            <w:bookmarkStart w:id="0" w:name="_GoBack"/>
            <w:bookmarkEnd w:id="0"/>
            <w:r w:rsidR="00B6505B">
              <w:rPr>
                <w:rFonts w:cs="Times New Roman"/>
                <w:b/>
                <w:color w:val="000000" w:themeColor="text1"/>
              </w:rPr>
              <w:t>ile</w:t>
            </w:r>
            <w:r w:rsidRPr="002F5F96">
              <w:rPr>
                <w:rFonts w:cs="Times New Roman"/>
                <w:b/>
                <w:color w:val="000000" w:themeColor="text1"/>
              </w:rPr>
              <w:t xml:space="preserve"> 1. MWC allosteric parameters of the hemoglobin evolutionary dataset oxygen saturation curves</w:t>
            </w:r>
            <w:r w:rsidRPr="002F5F96">
              <w:rPr>
                <w:rFonts w:cs="Times New Roman"/>
                <w:b/>
                <w:color w:val="000000" w:themeColor="text1"/>
                <w:vertAlign w:val="superscript"/>
              </w:rPr>
              <w:t>a</w:t>
            </w:r>
          </w:p>
        </w:tc>
      </w:tr>
      <w:tr w:rsidR="00706FF3" w:rsidRPr="002F5F96" w14:paraId="0E2C3CDF" w14:textId="77777777" w:rsidTr="00706FF3">
        <w:trPr>
          <w:trHeight w:val="3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F49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  <w:p w14:paraId="12233546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b/>
                <w:bCs/>
                <w:iCs/>
                <w:color w:val="000000"/>
                <w:sz w:val="18"/>
                <w:szCs w:val="18"/>
              </w:rPr>
              <w:t>#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8948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  <w:t>b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Mammalian species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7A9B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b/>
                <w:i/>
                <w:color w:val="000000"/>
                <w:sz w:val="18"/>
                <w:szCs w:val="18"/>
              </w:rPr>
              <w:t>K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R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30265211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i/>
                <w:iCs/>
                <w:sz w:val="18"/>
                <w:szCs w:val="18"/>
              </w:rPr>
            </w:pP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(mmHg)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423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</w:pPr>
            <w:r w:rsidRPr="002F5F96">
              <w:rPr>
                <w:rFonts w:cs="Times New Roman"/>
                <w:b/>
                <w:i/>
                <w:color w:val="000000"/>
                <w:sz w:val="18"/>
                <w:szCs w:val="18"/>
              </w:rPr>
              <w:t>K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T</w:t>
            </w:r>
          </w:p>
          <w:p w14:paraId="0007F404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sz w:val="18"/>
                <w:szCs w:val="18"/>
              </w:rPr>
            </w:pP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(mmHg)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8F400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  <w:t>a</w:t>
            </w:r>
            <w:r w:rsidRPr="002F5F96">
              <w:rPr>
                <w:rFonts w:cs="Times New Roman"/>
                <w:b/>
                <w:i/>
                <w:iCs/>
                <w:color w:val="000000"/>
                <w:sz w:val="18"/>
                <w:szCs w:val="18"/>
              </w:rPr>
              <w:t>c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 xml:space="preserve"> x(10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-3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2586D5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  <w:t>a</w:t>
            </w:r>
            <w:r w:rsidRPr="002F5F96">
              <w:rPr>
                <w:rFonts w:cs="Times New Roman"/>
                <w:b/>
                <w:i/>
                <w:iCs/>
                <w:color w:val="000000"/>
                <w:sz w:val="18"/>
                <w:szCs w:val="18"/>
              </w:rPr>
              <w:t>L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 xml:space="preserve"> x(10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5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B270E5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  <w:t>c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Calculated</w:t>
            </w:r>
          </w:p>
          <w:p w14:paraId="14A1E107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b/>
                <w:i/>
                <w:color w:val="000000"/>
                <w:sz w:val="18"/>
                <w:szCs w:val="18"/>
              </w:rPr>
              <w:t>n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H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MWC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2894F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b/>
                <w:color w:val="000000"/>
                <w:sz w:val="18"/>
                <w:szCs w:val="18"/>
              </w:rPr>
              <w:t>Observed</w:t>
            </w:r>
          </w:p>
          <w:p w14:paraId="109A6548" w14:textId="77777777" w:rsidR="00706FF3" w:rsidRPr="002F5F96" w:rsidRDefault="00706FF3" w:rsidP="00706FF3">
            <w:pPr>
              <w:bidi w:val="0"/>
              <w:spacing w:line="276" w:lineRule="auto"/>
              <w:ind w:left="-360" w:right="-36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  <w:vertAlign w:val="superscript"/>
              </w:rPr>
              <w:t>d</w:t>
            </w:r>
            <w:r w:rsidRPr="002F5F96">
              <w:rPr>
                <w:rFonts w:cs="Times New Roman"/>
                <w:b/>
                <w:i/>
                <w:color w:val="000000"/>
                <w:sz w:val="18"/>
                <w:szCs w:val="18"/>
              </w:rPr>
              <w:t>n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bscript"/>
              </w:rPr>
              <w:t>H</w:t>
            </w:r>
            <w:r w:rsidRPr="002F5F96">
              <w:rPr>
                <w:rFonts w:cs="Times New Roman"/>
                <w:b/>
                <w:color w:val="000000"/>
                <w:sz w:val="18"/>
                <w:szCs w:val="18"/>
                <w:vertAlign w:val="superscript"/>
              </w:rPr>
              <w:t>Hill</w:t>
            </w:r>
          </w:p>
        </w:tc>
      </w:tr>
      <w:tr w:rsidR="00706FF3" w:rsidRPr="002F5F96" w14:paraId="6D3F75FE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F5F3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5B4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African elephant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23B4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1.0±0.2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671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120.2±2.5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C134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8.1±1.3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7D36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1530.5±166.3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6562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2.9±0.2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435C5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2.88±0.12</w:t>
            </w:r>
          </w:p>
        </w:tc>
      </w:tr>
      <w:tr w:rsidR="00706FF3" w:rsidRPr="002F5F96" w14:paraId="775F8F6D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90A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286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Horse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4AD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1.4±0.5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F0E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112.2±26.2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A80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12.3±5.6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50EA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0.7±0.6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F25C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2.8±0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8534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2.76±0.02</w:t>
            </w:r>
          </w:p>
        </w:tc>
      </w:tr>
      <w:tr w:rsidR="00706FF3" w:rsidRPr="002F5F96" w14:paraId="071C8A2A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3120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F5B1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Camel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394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2.6±0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F396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72.4±0.2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B0A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36.3±0.5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C827B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0.1±0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8C65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2.3±0.1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EB5A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2.26±0.05</w:t>
            </w:r>
          </w:p>
        </w:tc>
      </w:tr>
      <w:tr w:rsidR="00706FF3" w:rsidRPr="002F5F96" w14:paraId="791E69FB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85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AC74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Cow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B8E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0.2±0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8684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89.1±0.1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646A4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2.2±0.3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0ADF0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1565.4±9.7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D980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2.9±0.1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6ED64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2.87±0.05</w:t>
            </w:r>
          </w:p>
        </w:tc>
      </w:tr>
      <w:tr w:rsidR="00706FF3" w:rsidRPr="002F5F96" w14:paraId="4CE7C894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B16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9EF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Asian elephant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5E6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0.3±0.2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418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114.8±11.1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DDC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2.8±1.4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14AE5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240.3±92.5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9310D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3±0.2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A56F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3.01±0.16</w:t>
            </w:r>
          </w:p>
        </w:tc>
      </w:tr>
      <w:tr w:rsidR="00706FF3" w:rsidRPr="002F5F96" w14:paraId="35C040FF" w14:textId="77777777" w:rsidTr="00706FF3">
        <w:trPr>
          <w:trHeight w:val="2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B718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120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Mole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39C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0.7±0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D5A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91.2±0.6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1FDE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8±0.3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71E8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9.5±0.3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BDC9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2.7±0.1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97C3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2.68±0.1</w:t>
            </w:r>
          </w:p>
        </w:tc>
      </w:tr>
      <w:tr w:rsidR="00706FF3" w:rsidRPr="002F5F96" w14:paraId="41D40171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54C0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029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Orangutan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B626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0.7±0.2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BF9B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120.2±11.3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6CC14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5.6±1.8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BFC765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16.6±6.2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16D5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D9CC5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2.76±0.09</w:t>
            </w:r>
          </w:p>
        </w:tc>
      </w:tr>
      <w:tr w:rsidR="00706FF3" w:rsidRPr="002F5F96" w14:paraId="4BB46B3A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17A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461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Gorilla-F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09A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0.1±0.1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89288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93.3±0.3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21B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1.5±0.6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CD0D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7457.4±86.7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55E2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2.7±0.2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A4DB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2.72±0.16</w:t>
            </w:r>
          </w:p>
        </w:tc>
      </w:tr>
      <w:tr w:rsidR="00706FF3" w:rsidRPr="002F5F96" w14:paraId="37E7BE0C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72A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3230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Chimpanzee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1F0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0.7±0.1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FCD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95.5±2.1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F31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7.6±0.9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9B1C3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12±1.1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5821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2.9±0.1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FBCCA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2.87±0.08</w:t>
            </w:r>
          </w:p>
        </w:tc>
      </w:tr>
      <w:tr w:rsidR="00706FF3" w:rsidRPr="002F5F96" w14:paraId="1BA9D003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AD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348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Platypus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8F5E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1.3±0.3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DCCF3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158.5±27.8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C44B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8.3±2.5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41FE7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1.3±0.9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8C673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3.2±0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1E20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3.18±0.04</w:t>
            </w:r>
          </w:p>
        </w:tc>
      </w:tr>
      <w:tr w:rsidR="00706FF3" w:rsidRPr="002F5F96" w14:paraId="4BB9FDE4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BAE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62D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Human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EF62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1.1±0.1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0403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125.9±4.6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7D7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8.5±0.9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99DD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2173.4±480.4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8355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2.8±0.2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13D8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2.87±0.04</w:t>
            </w:r>
          </w:p>
        </w:tc>
      </w:tr>
      <w:tr w:rsidR="00706FF3" w:rsidRPr="002F5F96" w14:paraId="33BD8758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50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8F9A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Antelope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ED5B5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0.5±0.5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70C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338.8±145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24A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1.5±1.6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E435B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83.4±142.8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DE67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3.6±0.2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AFC24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3.59±0.15</w:t>
            </w:r>
          </w:p>
        </w:tc>
      </w:tr>
      <w:tr w:rsidR="00706FF3" w:rsidRPr="002F5F96" w14:paraId="3CA7669D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1B7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EF5D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Goat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B86A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0.4±0.5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A3DB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436.5±196.4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7488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0.9±1.1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C7F5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274.5±494.2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D0E36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3.5±0.1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6E18B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3.54±0.11</w:t>
            </w:r>
          </w:p>
        </w:tc>
      </w:tr>
      <w:tr w:rsidR="00706FF3" w:rsidRPr="002F5F96" w14:paraId="0E604F3B" w14:textId="77777777" w:rsidTr="00706FF3">
        <w:trPr>
          <w:trHeight w:val="25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7C0F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Cs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24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i/>
                <w:color w:val="000000"/>
                <w:sz w:val="18"/>
                <w:szCs w:val="18"/>
              </w:rPr>
            </w:pPr>
            <w:r w:rsidRPr="002F5F96">
              <w:rPr>
                <w:rFonts w:cs="Times New Roman"/>
                <w:i/>
                <w:color w:val="000000"/>
                <w:sz w:val="18"/>
                <w:szCs w:val="18"/>
              </w:rPr>
              <w:t>Dog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7C7A9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0.8±0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4968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104.7±0.3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3D84C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8.1±0.4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DC5D1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color w:val="000000"/>
                <w:sz w:val="20"/>
                <w:szCs w:val="20"/>
              </w:rPr>
              <w:t>9.2±0.1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AB43A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2.6±0.1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CB9E" w14:textId="77777777" w:rsidR="00706FF3" w:rsidRPr="002F5F96" w:rsidRDefault="00706FF3" w:rsidP="00706FF3">
            <w:pPr>
              <w:bidi w:val="0"/>
              <w:spacing w:line="360" w:lineRule="auto"/>
              <w:ind w:left="-360" w:right="-36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2F5F96">
              <w:rPr>
                <w:rFonts w:cs="Times New Roman"/>
                <w:b/>
                <w:color w:val="000000"/>
                <w:sz w:val="20"/>
                <w:szCs w:val="20"/>
              </w:rPr>
              <w:t>2.62±0.06</w:t>
            </w:r>
          </w:p>
        </w:tc>
      </w:tr>
    </w:tbl>
    <w:p w14:paraId="0A90901D" w14:textId="38C8E165" w:rsidR="002F5F96" w:rsidRPr="002F5F96" w:rsidRDefault="002F5F96" w:rsidP="00706FF3">
      <w:pPr>
        <w:bidi w:val="0"/>
        <w:ind w:left="-567"/>
        <w:rPr>
          <w:rFonts w:cs="Times New Roman"/>
          <w:b/>
          <w:bCs/>
          <w:sz w:val="28"/>
          <w:szCs w:val="28"/>
        </w:rPr>
      </w:pPr>
    </w:p>
    <w:p w14:paraId="688E2743" w14:textId="77777777" w:rsidR="002F5F96" w:rsidRPr="002F5F96" w:rsidRDefault="002F5F96" w:rsidP="002F5F96">
      <w:pPr>
        <w:bidi w:val="0"/>
        <w:spacing w:line="276" w:lineRule="auto"/>
        <w:ind w:right="-225"/>
        <w:jc w:val="both"/>
        <w:rPr>
          <w:rFonts w:cs="Times New Roman"/>
          <w:i/>
          <w:color w:val="000000"/>
          <w:vertAlign w:val="superscript"/>
        </w:rPr>
      </w:pPr>
    </w:p>
    <w:p w14:paraId="30851792" w14:textId="77777777" w:rsidR="002F5F96" w:rsidRPr="002F5F96" w:rsidRDefault="002F5F96" w:rsidP="002F5F96">
      <w:pPr>
        <w:bidi w:val="0"/>
        <w:spacing w:line="276" w:lineRule="auto"/>
        <w:ind w:right="58"/>
        <w:jc w:val="both"/>
        <w:rPr>
          <w:rFonts w:cs="Times New Roman"/>
          <w:color w:val="000000"/>
          <w:vertAlign w:val="superscript"/>
        </w:rPr>
      </w:pPr>
      <w:r w:rsidRPr="002F5F96">
        <w:rPr>
          <w:rFonts w:cs="Times New Roman"/>
          <w:i/>
          <w:color w:val="000000"/>
          <w:vertAlign w:val="superscript"/>
        </w:rPr>
        <w:t>a</w:t>
      </w:r>
      <w:r w:rsidRPr="002F5F96">
        <w:rPr>
          <w:rFonts w:cs="Times New Roman"/>
          <w:color w:val="000000"/>
        </w:rPr>
        <w:t xml:space="preserve">The MWC allosteric parameters for Hb evolutionary datasets reported in this table were obtained as described in Rapp and Yifrach (2017). The </w:t>
      </w:r>
      <w:r w:rsidRPr="002F5F96">
        <w:rPr>
          <w:rFonts w:cs="Times New Roman"/>
          <w:i/>
          <w:color w:val="000000"/>
        </w:rPr>
        <w:t>K</w:t>
      </w:r>
      <w:r w:rsidRPr="002F5F96">
        <w:rPr>
          <w:rFonts w:cs="Times New Roman"/>
          <w:color w:val="000000"/>
          <w:vertAlign w:val="subscript"/>
        </w:rPr>
        <w:t>T</w:t>
      </w:r>
      <w:r w:rsidRPr="002F5F96">
        <w:rPr>
          <w:rFonts w:cs="Times New Roman"/>
          <w:color w:val="000000"/>
        </w:rPr>
        <w:t xml:space="preserve"> and </w:t>
      </w:r>
      <w:r w:rsidRPr="002F5F96">
        <w:rPr>
          <w:rFonts w:cs="Times New Roman"/>
          <w:i/>
          <w:color w:val="000000"/>
        </w:rPr>
        <w:t>K</w:t>
      </w:r>
      <w:r w:rsidRPr="002F5F96">
        <w:rPr>
          <w:rFonts w:cs="Times New Roman"/>
          <w:color w:val="000000"/>
          <w:vertAlign w:val="subscript"/>
        </w:rPr>
        <w:t>R</w:t>
      </w:r>
      <w:r w:rsidRPr="002F5F96">
        <w:rPr>
          <w:rFonts w:cs="Times New Roman"/>
          <w:color w:val="000000"/>
        </w:rPr>
        <w:t xml:space="preserve"> parameters correspond to the</w:t>
      </w:r>
      <w:r w:rsidRPr="002F5F96">
        <w:rPr>
          <w:rFonts w:cs="Times New Roman"/>
          <w:i/>
          <w:color w:val="000000"/>
        </w:rPr>
        <w:t xml:space="preserve"> </w:t>
      </w:r>
      <w:r w:rsidRPr="002F5F96">
        <w:rPr>
          <w:rFonts w:cs="Times New Roman"/>
          <w:color w:val="000000"/>
        </w:rPr>
        <w:t>affinity of</w:t>
      </w:r>
      <w:r w:rsidRPr="002F5F96">
        <w:rPr>
          <w:rFonts w:cs="Times New Roman"/>
          <w:i/>
          <w:color w:val="000000"/>
        </w:rPr>
        <w:t xml:space="preserve"> </w:t>
      </w:r>
      <w:r w:rsidRPr="002F5F96">
        <w:rPr>
          <w:rFonts w:cs="Times New Roman"/>
          <w:color w:val="000000"/>
        </w:rPr>
        <w:t xml:space="preserve">oxygen to the </w:t>
      </w:r>
      <w:r w:rsidRPr="002F5F96">
        <w:rPr>
          <w:rFonts w:cs="Times New Roman"/>
          <w:b/>
          <w:color w:val="000000"/>
        </w:rPr>
        <w:t>T</w:t>
      </w:r>
      <w:r w:rsidRPr="002F5F96">
        <w:rPr>
          <w:rFonts w:cs="Times New Roman"/>
          <w:color w:val="000000"/>
        </w:rPr>
        <w:t xml:space="preserve"> and </w:t>
      </w:r>
      <w:r w:rsidRPr="002F5F96">
        <w:rPr>
          <w:rFonts w:cs="Times New Roman"/>
          <w:b/>
          <w:color w:val="000000"/>
        </w:rPr>
        <w:t>R</w:t>
      </w:r>
      <w:r w:rsidRPr="002F5F96">
        <w:rPr>
          <w:rFonts w:cs="Times New Roman"/>
          <w:i/>
          <w:color w:val="000000"/>
        </w:rPr>
        <w:t xml:space="preserve"> </w:t>
      </w:r>
      <w:r w:rsidRPr="002F5F96">
        <w:rPr>
          <w:rFonts w:cs="Times New Roman"/>
          <w:color w:val="000000"/>
        </w:rPr>
        <w:t xml:space="preserve">Hb MWC quaternary states, respectively, whereas </w:t>
      </w:r>
      <w:r w:rsidRPr="002F5F96">
        <w:rPr>
          <w:rFonts w:cs="Times New Roman"/>
          <w:i/>
          <w:color w:val="000000"/>
        </w:rPr>
        <w:t>c</w:t>
      </w:r>
      <w:r w:rsidRPr="002F5F96">
        <w:rPr>
          <w:rFonts w:cs="Times New Roman"/>
          <w:color w:val="000000"/>
        </w:rPr>
        <w:t xml:space="preserve"> and </w:t>
      </w:r>
      <w:r w:rsidRPr="002F5F96">
        <w:rPr>
          <w:rFonts w:cs="Times New Roman"/>
          <w:i/>
          <w:color w:val="000000"/>
        </w:rPr>
        <w:t>L</w:t>
      </w:r>
      <w:r w:rsidRPr="002F5F96">
        <w:rPr>
          <w:rFonts w:cs="Times New Roman"/>
          <w:color w:val="000000"/>
        </w:rPr>
        <w:t xml:space="preserve"> correspond to the relative affinity (c=</w:t>
      </w:r>
      <w:r w:rsidRPr="002F5F96">
        <w:rPr>
          <w:rFonts w:cs="Times New Roman"/>
          <w:i/>
          <w:color w:val="000000"/>
        </w:rPr>
        <w:t xml:space="preserve"> K</w:t>
      </w:r>
      <w:r w:rsidRPr="002F5F96">
        <w:rPr>
          <w:rFonts w:cs="Times New Roman"/>
          <w:color w:val="000000"/>
          <w:vertAlign w:val="subscript"/>
        </w:rPr>
        <w:t>R</w:t>
      </w:r>
      <w:r w:rsidRPr="002F5F96">
        <w:rPr>
          <w:rFonts w:cs="Times New Roman"/>
          <w:color w:val="000000"/>
        </w:rPr>
        <w:t>/</w:t>
      </w:r>
      <w:r w:rsidRPr="002F5F96">
        <w:rPr>
          <w:rFonts w:cs="Times New Roman"/>
          <w:i/>
          <w:color w:val="000000"/>
        </w:rPr>
        <w:t xml:space="preserve"> K</w:t>
      </w:r>
      <w:r w:rsidRPr="002F5F96">
        <w:rPr>
          <w:rFonts w:cs="Times New Roman"/>
          <w:color w:val="000000"/>
          <w:vertAlign w:val="subscript"/>
        </w:rPr>
        <w:t>T</w:t>
      </w:r>
      <w:r w:rsidRPr="002F5F96">
        <w:rPr>
          <w:rFonts w:cs="Times New Roman"/>
          <w:color w:val="000000"/>
        </w:rPr>
        <w:t>) and conformational ratio (</w:t>
      </w:r>
      <w:r w:rsidRPr="002F5F96">
        <w:rPr>
          <w:rFonts w:cs="Times New Roman"/>
          <w:i/>
          <w:color w:val="000000"/>
        </w:rPr>
        <w:t>L</w:t>
      </w:r>
      <w:r w:rsidRPr="002F5F96">
        <w:rPr>
          <w:rFonts w:cs="Times New Roman"/>
          <w:color w:val="000000"/>
        </w:rPr>
        <w:t>= [</w:t>
      </w:r>
      <w:r w:rsidRPr="002F5F96">
        <w:rPr>
          <w:rFonts w:cs="Times New Roman"/>
          <w:b/>
          <w:color w:val="000000"/>
        </w:rPr>
        <w:t>T</w:t>
      </w:r>
      <w:r w:rsidRPr="002F5F96">
        <w:rPr>
          <w:rFonts w:cs="Times New Roman"/>
          <w:color w:val="000000"/>
        </w:rPr>
        <w:t>]/[</w:t>
      </w:r>
      <w:r w:rsidRPr="002F5F96">
        <w:rPr>
          <w:rFonts w:cs="Times New Roman"/>
          <w:b/>
          <w:color w:val="000000"/>
        </w:rPr>
        <w:t>R</w:t>
      </w:r>
      <w:r w:rsidRPr="002F5F96">
        <w:rPr>
          <w:rFonts w:cs="Times New Roman"/>
          <w:color w:val="000000"/>
        </w:rPr>
        <w:t xml:space="preserve">]) of the </w:t>
      </w:r>
      <w:r w:rsidRPr="002F5F96">
        <w:rPr>
          <w:rFonts w:cs="Times New Roman"/>
          <w:b/>
          <w:color w:val="000000"/>
        </w:rPr>
        <w:t>T</w:t>
      </w:r>
      <w:r w:rsidRPr="002F5F96">
        <w:rPr>
          <w:rFonts w:cs="Times New Roman"/>
          <w:color w:val="000000"/>
        </w:rPr>
        <w:t xml:space="preserve"> and </w:t>
      </w:r>
      <w:r w:rsidRPr="002F5F96">
        <w:rPr>
          <w:rFonts w:cs="Times New Roman"/>
          <w:b/>
          <w:color w:val="000000"/>
        </w:rPr>
        <w:t>R</w:t>
      </w:r>
      <w:r w:rsidRPr="002F5F96">
        <w:rPr>
          <w:rFonts w:cs="Times New Roman"/>
          <w:color w:val="000000"/>
        </w:rPr>
        <w:t xml:space="preserve"> states, respectively.</w:t>
      </w:r>
    </w:p>
    <w:p w14:paraId="7CE61AE5" w14:textId="77777777" w:rsidR="002F5F96" w:rsidRPr="002F5F96" w:rsidRDefault="002F5F96" w:rsidP="002F5F96">
      <w:pPr>
        <w:bidi w:val="0"/>
        <w:spacing w:line="276" w:lineRule="auto"/>
        <w:ind w:right="58"/>
        <w:jc w:val="both"/>
        <w:rPr>
          <w:rFonts w:cs="Times New Roman"/>
          <w:color w:val="000000"/>
        </w:rPr>
      </w:pPr>
      <w:r w:rsidRPr="002F5F96">
        <w:rPr>
          <w:rFonts w:cs="Times New Roman"/>
          <w:i/>
          <w:color w:val="000000"/>
          <w:vertAlign w:val="superscript"/>
        </w:rPr>
        <w:t>b</w:t>
      </w:r>
      <w:r w:rsidRPr="002F5F96">
        <w:rPr>
          <w:rFonts w:cs="Times New Roman"/>
          <w:color w:val="000000"/>
        </w:rPr>
        <w:t xml:space="preserve">The mammalian Hb species analyzed in the current meta-analysis, as reported in Milo et al (2007). </w:t>
      </w:r>
    </w:p>
    <w:p w14:paraId="22A2C1BF" w14:textId="77777777" w:rsidR="002F5F96" w:rsidRPr="002F5F96" w:rsidRDefault="002F5F96" w:rsidP="002F5F96">
      <w:pPr>
        <w:bidi w:val="0"/>
        <w:spacing w:line="276" w:lineRule="auto"/>
        <w:ind w:right="58"/>
        <w:jc w:val="both"/>
        <w:rPr>
          <w:rFonts w:cs="Times New Roman"/>
          <w:color w:val="000000"/>
        </w:rPr>
      </w:pPr>
      <w:r w:rsidRPr="002F5F96">
        <w:rPr>
          <w:rFonts w:cs="Times New Roman"/>
          <w:i/>
          <w:color w:val="000000"/>
          <w:vertAlign w:val="superscript"/>
        </w:rPr>
        <w:t>c</w:t>
      </w:r>
      <w:r w:rsidRPr="002F5F96">
        <w:rPr>
          <w:rFonts w:cs="Times New Roman"/>
          <w:color w:val="000000"/>
        </w:rPr>
        <w:t xml:space="preserve">Hill coefficient at half-saturation calculated based on </w:t>
      </w:r>
      <w:r w:rsidRPr="002F5F96">
        <w:rPr>
          <w:rFonts w:cs="Times New Roman"/>
          <w:b/>
          <w:bCs/>
          <w:color w:val="000000"/>
        </w:rPr>
        <w:t>Equation 5</w:t>
      </w:r>
      <w:r w:rsidRPr="002F5F96">
        <w:rPr>
          <w:rFonts w:cs="Times New Roman"/>
          <w:color w:val="000000"/>
        </w:rPr>
        <w:t xml:space="preserve"> and using the </w:t>
      </w:r>
      <w:r w:rsidRPr="002F5F96">
        <w:rPr>
          <w:rFonts w:cs="Times New Roman"/>
          <w:i/>
          <w:color w:val="000000"/>
        </w:rPr>
        <w:t>K</w:t>
      </w:r>
      <w:r w:rsidRPr="002F5F96">
        <w:rPr>
          <w:rFonts w:cs="Times New Roman"/>
          <w:color w:val="000000"/>
          <w:vertAlign w:val="subscript"/>
        </w:rPr>
        <w:t>R</w:t>
      </w:r>
      <w:r w:rsidRPr="002F5F96">
        <w:rPr>
          <w:rFonts w:cs="Times New Roman"/>
          <w:color w:val="000000"/>
        </w:rPr>
        <w:t xml:space="preserve">, </w:t>
      </w:r>
      <w:r w:rsidRPr="002F5F96">
        <w:rPr>
          <w:rFonts w:cs="Times New Roman"/>
          <w:i/>
          <w:color w:val="000000"/>
        </w:rPr>
        <w:t>K</w:t>
      </w:r>
      <w:r w:rsidRPr="002F5F96">
        <w:rPr>
          <w:rFonts w:cs="Times New Roman"/>
          <w:color w:val="000000"/>
          <w:vertAlign w:val="subscript"/>
        </w:rPr>
        <w:t>T</w:t>
      </w:r>
      <w:r w:rsidRPr="002F5F96">
        <w:rPr>
          <w:rFonts w:cs="Times New Roman"/>
          <w:color w:val="000000"/>
        </w:rPr>
        <w:t xml:space="preserve">, and </w:t>
      </w:r>
      <w:r w:rsidRPr="002F5F96">
        <w:rPr>
          <w:rFonts w:cs="Times New Roman"/>
          <w:i/>
          <w:color w:val="000000"/>
        </w:rPr>
        <w:t>L</w:t>
      </w:r>
      <w:r w:rsidRPr="002F5F96">
        <w:rPr>
          <w:rFonts w:cs="Times New Roman"/>
          <w:color w:val="000000"/>
        </w:rPr>
        <w:t xml:space="preserve"> MWC parameters of the different mammalian Hb binding curves (see Rapp and Yifrach (2017)).</w:t>
      </w:r>
    </w:p>
    <w:p w14:paraId="58EF8E48" w14:textId="77777777" w:rsidR="002F5F96" w:rsidRPr="002F5F96" w:rsidRDefault="002F5F96" w:rsidP="002F5F96">
      <w:pPr>
        <w:bidi w:val="0"/>
        <w:spacing w:line="276" w:lineRule="auto"/>
        <w:ind w:right="58"/>
        <w:jc w:val="both"/>
        <w:rPr>
          <w:rFonts w:cs="Times New Roman"/>
          <w:color w:val="000000"/>
        </w:rPr>
      </w:pPr>
      <w:r w:rsidRPr="002F5F96">
        <w:rPr>
          <w:rFonts w:cs="Times New Roman"/>
          <w:i/>
          <w:color w:val="000000"/>
          <w:vertAlign w:val="superscript"/>
        </w:rPr>
        <w:t>d</w:t>
      </w:r>
      <w:r w:rsidRPr="002F5F96">
        <w:rPr>
          <w:rFonts w:cs="Times New Roman"/>
          <w:color w:val="000000"/>
        </w:rPr>
        <w:t>Hill coefficients at half-saturation obtained upon fitting Hb oxygen saturation data to the Hill equation (</w:t>
      </w:r>
      <w:r w:rsidRPr="002F5F96">
        <w:rPr>
          <w:rFonts w:cs="Times New Roman"/>
          <w:b/>
          <w:bCs/>
          <w:color w:val="000000"/>
        </w:rPr>
        <w:t>Equation 1</w:t>
      </w:r>
      <w:r w:rsidRPr="002F5F96">
        <w:rPr>
          <w:rFonts w:cs="Times New Roman"/>
          <w:color w:val="000000"/>
        </w:rPr>
        <w:t>), as reported in Milo et al (2007).</w:t>
      </w:r>
    </w:p>
    <w:p w14:paraId="79324E73" w14:textId="6C6D4550" w:rsidR="002F5F96" w:rsidRPr="002F5F96" w:rsidRDefault="002F5F96" w:rsidP="002F5F96">
      <w:pPr>
        <w:bidi w:val="0"/>
        <w:rPr>
          <w:rFonts w:cs="Times New Roman"/>
          <w:b/>
          <w:bCs/>
        </w:rPr>
      </w:pPr>
    </w:p>
    <w:sectPr w:rsidR="002F5F96" w:rsidRPr="002F5F96" w:rsidSect="00F341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78"/>
    <w:rsid w:val="002F5F96"/>
    <w:rsid w:val="00596678"/>
    <w:rsid w:val="006562CD"/>
    <w:rsid w:val="00706FF3"/>
    <w:rsid w:val="00B6505B"/>
    <w:rsid w:val="00F34189"/>
    <w:rsid w:val="00FF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184439"/>
  <w14:defaultImageDpi w14:val="300"/>
  <w15:docId w15:val="{36D739C1-99B5-45B5-AE12-15EC4162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678"/>
    <w:pPr>
      <w:bidi/>
    </w:pPr>
    <w:rPr>
      <w:rFonts w:ascii="Times New Roman" w:eastAsia="Times New Roman" w:hAnsi="Times New Roman" w:cs="David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4294967283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Yifrach</dc:creator>
  <cp:keywords/>
  <dc:description/>
  <cp:lastModifiedBy>עפר יפרח</cp:lastModifiedBy>
  <cp:revision>5</cp:revision>
  <dcterms:created xsi:type="dcterms:W3CDTF">2017-11-26T13:07:00Z</dcterms:created>
  <dcterms:modified xsi:type="dcterms:W3CDTF">2019-08-25T06:09:00Z</dcterms:modified>
</cp:coreProperties>
</file>