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96CDD">
        <w:fldChar w:fldCharType="begin"/>
      </w:r>
      <w:r w:rsidR="00796CDD">
        <w:instrText xml:space="preserve"> HYPERLINK "https://biosharing.org/" \t "_blank" </w:instrText>
      </w:r>
      <w:r w:rsidR="00796CD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96CD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DF10286" w:rsidR="00877644" w:rsidRPr="00125190" w:rsidRDefault="001128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for both the resting-state </w:t>
      </w:r>
      <w:r w:rsidR="007434C2">
        <w:rPr>
          <w:rFonts w:asciiTheme="minorHAnsi" w:hAnsiTheme="minorHAnsi"/>
        </w:rPr>
        <w:t xml:space="preserve">functional connectivity analysis (n=65) and the analysis of visual stimulation (n=29) were convenience samples, as these data had already been collected as part of prior projects from our group. The sample size for the memory task (n=24) was determined based on a prior fMRI study of memory-recall from our group employing a very similar paradigm (e.g. Silson et al., 2019). This information is specified under Materials and </w:t>
      </w:r>
      <w:r w:rsidR="007434C2" w:rsidRPr="007434C2">
        <w:rPr>
          <w:rFonts w:asciiTheme="minorHAnsi" w:hAnsiTheme="minorHAnsi"/>
          <w:i/>
        </w:rPr>
        <w:t>Methods &gt; Participants.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41942B7" w:rsidR="00B330BD" w:rsidRDefault="007434C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 technical replication was built into the analysis of the memory experiment. Specifically, we separated the memory 6 fMRI runs into two halves (odd, even). These halves were then analyzed </w:t>
      </w:r>
      <w:r w:rsidR="009E4053">
        <w:rPr>
          <w:rFonts w:asciiTheme="minorHAnsi" w:hAnsiTheme="minorHAnsi"/>
        </w:rPr>
        <w:t>separately,</w:t>
      </w:r>
      <w:r>
        <w:rPr>
          <w:rFonts w:asciiTheme="minorHAnsi" w:hAnsiTheme="minorHAnsi"/>
        </w:rPr>
        <w:t xml:space="preserve"> and </w:t>
      </w:r>
      <w:r w:rsidR="009E4053">
        <w:rPr>
          <w:rFonts w:asciiTheme="minorHAnsi" w:hAnsiTheme="minorHAnsi"/>
        </w:rPr>
        <w:t xml:space="preserve">the results compared using Pearson’s correlation coefficient. This split-half analysis demonstrated the highly reliable and replicable nature of the memory effects were report. The exact method used to perform this split-half analysis is reported in </w:t>
      </w:r>
      <w:r w:rsidR="009E4053">
        <w:rPr>
          <w:rFonts w:asciiTheme="minorHAnsi" w:hAnsiTheme="minorHAnsi"/>
          <w:i/>
        </w:rPr>
        <w:t xml:space="preserve">Materials and Methods &gt; Split-half analysis </w:t>
      </w:r>
      <w:r w:rsidR="009E4053">
        <w:rPr>
          <w:rFonts w:asciiTheme="minorHAnsi" w:hAnsiTheme="minorHAnsi"/>
        </w:rPr>
        <w:t xml:space="preserve">and the resulting Pearson’s r values are reported in </w:t>
      </w:r>
      <w:r w:rsidR="009E4053">
        <w:rPr>
          <w:rFonts w:asciiTheme="minorHAnsi" w:hAnsiTheme="minorHAnsi"/>
          <w:i/>
        </w:rPr>
        <w:t>Results</w:t>
      </w:r>
      <w:r w:rsidR="009E4053">
        <w:rPr>
          <w:rFonts w:asciiTheme="minorHAnsi" w:hAnsiTheme="minorHAnsi"/>
        </w:rPr>
        <w:t>.</w:t>
      </w:r>
    </w:p>
    <w:p w14:paraId="7821250B" w14:textId="2A970A8A" w:rsidR="009E4053" w:rsidRDefault="009E40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7C0734" w14:textId="29F0B26C" w:rsidR="009E4053" w:rsidRDefault="009E40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Criteria for inclusion in the resting-state analysis was that each participant completed a minimum of 20 minutes of resting-state fMRI data.</w:t>
      </w:r>
    </w:p>
    <w:p w14:paraId="4CC98981" w14:textId="5E2B7D2D" w:rsidR="009E4053" w:rsidRDefault="009E40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Criteria for inclusion in functional localizer analysis was that each participant completed all six </w:t>
      </w:r>
      <w:r w:rsidR="00A62582">
        <w:rPr>
          <w:rFonts w:asciiTheme="minorHAnsi" w:hAnsiTheme="minorHAnsi"/>
        </w:rPr>
        <w:t>runs of the functional localizer experiment.</w:t>
      </w:r>
    </w:p>
    <w:p w14:paraId="456E0515" w14:textId="08282435" w:rsidR="00A62582" w:rsidRPr="009E4053" w:rsidRDefault="00A625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Criteria for inclusion in the memory experiment was that each participant completed all six runs of the memory experiment.</w:t>
      </w:r>
    </w:p>
    <w:p w14:paraId="2F8D9B74" w14:textId="77777777" w:rsidR="009E4053" w:rsidRPr="00125190" w:rsidRDefault="009E405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7CA48B7" w:rsidR="0015519A" w:rsidRDefault="004152D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fMRI data was preprocessed using standard procedures using publicly available software (AFNI). </w:t>
      </w:r>
    </w:p>
    <w:p w14:paraId="065486FA" w14:textId="73CAC6E9" w:rsidR="004152D2" w:rsidRDefault="004152D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53DCB49" w14:textId="5FCDB009" w:rsidR="004152D2" w:rsidRDefault="004152D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statistical tests comparing the responses evoked by visual presentation of different visual categories in each ROI we performed a one-way repeated measures ANOVA with Category (6 levels) as a within-participant factor</w:t>
      </w:r>
      <w:r w:rsidR="00E136CB">
        <w:rPr>
          <w:rFonts w:asciiTheme="minorHAnsi" w:hAnsiTheme="minorHAnsi"/>
          <w:sz w:val="22"/>
          <w:szCs w:val="22"/>
        </w:rPr>
        <w:t>. If a significant main effect of Category was observed, we performed pair-wise comparisons using Bonferroni correction. We include the exact p-value and partial eta</w:t>
      </w:r>
      <w:r w:rsidR="00E136CB" w:rsidRPr="00E136CB">
        <w:rPr>
          <w:rFonts w:asciiTheme="minorHAnsi" w:hAnsiTheme="minorHAnsi"/>
          <w:sz w:val="22"/>
          <w:szCs w:val="22"/>
          <w:vertAlign w:val="superscript"/>
        </w:rPr>
        <w:t>2</w:t>
      </w:r>
      <w:r w:rsidR="00E136CB">
        <w:rPr>
          <w:rFonts w:asciiTheme="minorHAnsi" w:hAnsiTheme="minorHAnsi"/>
          <w:sz w:val="22"/>
          <w:szCs w:val="22"/>
        </w:rPr>
        <w:t xml:space="preserve"> estimates in </w:t>
      </w:r>
      <w:r w:rsidR="00E136CB">
        <w:rPr>
          <w:rFonts w:asciiTheme="minorHAnsi" w:hAnsiTheme="minorHAnsi"/>
          <w:i/>
          <w:sz w:val="22"/>
          <w:szCs w:val="22"/>
        </w:rPr>
        <w:t>Results &gt; Subdivisions of MPC show differential responses to visually presented categories</w:t>
      </w:r>
      <w:r w:rsidR="000D1558">
        <w:rPr>
          <w:rFonts w:asciiTheme="minorHAnsi" w:hAnsiTheme="minorHAnsi"/>
          <w:i/>
          <w:sz w:val="22"/>
          <w:szCs w:val="22"/>
        </w:rPr>
        <w:t xml:space="preserve">, </w:t>
      </w:r>
      <w:r w:rsidR="000D1558">
        <w:rPr>
          <w:rFonts w:asciiTheme="minorHAnsi" w:hAnsiTheme="minorHAnsi"/>
          <w:sz w:val="22"/>
          <w:szCs w:val="22"/>
        </w:rPr>
        <w:t xml:space="preserve">and full statistical breakdown of all main effects and interactions is reported in </w:t>
      </w:r>
      <w:r w:rsidR="000D1558">
        <w:rPr>
          <w:rFonts w:asciiTheme="minorHAnsi" w:hAnsiTheme="minorHAnsi"/>
          <w:i/>
          <w:sz w:val="22"/>
          <w:szCs w:val="22"/>
        </w:rPr>
        <w:t xml:space="preserve">Supplementary Material. </w:t>
      </w:r>
      <w:r w:rsidR="00E136CB">
        <w:rPr>
          <w:rFonts w:asciiTheme="minorHAnsi" w:hAnsiTheme="minorHAnsi"/>
          <w:sz w:val="22"/>
          <w:szCs w:val="22"/>
        </w:rPr>
        <w:t>Further, we plot the mean response, as well as each individual participant data point in Figure 2.</w:t>
      </w:r>
    </w:p>
    <w:p w14:paraId="09EEACEF" w14:textId="246D0399" w:rsidR="00E136CB" w:rsidRDefault="00E136C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16941ED" w14:textId="215FE4F6" w:rsidR="000D1558" w:rsidRDefault="00E136CB" w:rsidP="000D15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same statistical approach was adopted when comparing the responses evoked during memory recall from all ROIs, whether defined using resting-state, via the split half-analysis, category-selectivity or anatomical selection. In each case, the mean response to each condition (Famous people, Famous places, Personal people, Personal places) was calculated in each participant. These values were then subjected to a three-way repeated measures ANOVA with Category (People, Places), Familiarity (Famous, Personal) and Hemisphere (Left, Right) as within-participant factors. </w:t>
      </w:r>
      <w:r w:rsidR="000D1558">
        <w:rPr>
          <w:rFonts w:asciiTheme="minorHAnsi" w:hAnsiTheme="minorHAnsi"/>
          <w:sz w:val="22"/>
          <w:szCs w:val="22"/>
        </w:rPr>
        <w:t>If a significant three-way interaction was observed, we further explored the nature of this interaction with two-way ANOVAs in each hemisphere separately. We include the exact p-value and partial eta</w:t>
      </w:r>
      <w:r w:rsidR="000D1558" w:rsidRPr="00E136CB">
        <w:rPr>
          <w:rFonts w:asciiTheme="minorHAnsi" w:hAnsiTheme="minorHAnsi"/>
          <w:sz w:val="22"/>
          <w:szCs w:val="22"/>
          <w:vertAlign w:val="superscript"/>
        </w:rPr>
        <w:t>2</w:t>
      </w:r>
      <w:r w:rsidR="000D1558">
        <w:rPr>
          <w:rFonts w:asciiTheme="minorHAnsi" w:hAnsiTheme="minorHAnsi"/>
          <w:sz w:val="22"/>
          <w:szCs w:val="22"/>
        </w:rPr>
        <w:t xml:space="preserve"> estimates in </w:t>
      </w:r>
      <w:r w:rsidR="000D1558">
        <w:rPr>
          <w:rFonts w:asciiTheme="minorHAnsi" w:hAnsiTheme="minorHAnsi"/>
          <w:i/>
          <w:sz w:val="22"/>
          <w:szCs w:val="22"/>
        </w:rPr>
        <w:t xml:space="preserve">Results, </w:t>
      </w:r>
      <w:r w:rsidR="000D1558">
        <w:rPr>
          <w:rFonts w:asciiTheme="minorHAnsi" w:hAnsiTheme="minorHAnsi"/>
          <w:sz w:val="22"/>
          <w:szCs w:val="22"/>
        </w:rPr>
        <w:t xml:space="preserve">and full statistical breakdown of all main effects and interactions is reported in </w:t>
      </w:r>
      <w:r w:rsidR="000D1558">
        <w:rPr>
          <w:rFonts w:asciiTheme="minorHAnsi" w:hAnsiTheme="minorHAnsi"/>
          <w:i/>
          <w:sz w:val="22"/>
          <w:szCs w:val="22"/>
        </w:rPr>
        <w:t xml:space="preserve">Supplementary Material. </w:t>
      </w:r>
      <w:r w:rsidR="000D1558">
        <w:rPr>
          <w:rFonts w:asciiTheme="minorHAnsi" w:hAnsiTheme="minorHAnsi"/>
          <w:sz w:val="22"/>
          <w:szCs w:val="22"/>
        </w:rPr>
        <w:t>Further, we plot the mean response, as well as each individual participant data point in Figures 4 &amp; 7 and Supplementary Figures 2, 3, &amp; 4.</w:t>
      </w:r>
    </w:p>
    <w:p w14:paraId="052FD5F5" w14:textId="2239E206" w:rsidR="00E136CB" w:rsidRPr="000D1558" w:rsidRDefault="00E136C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634FBC1" w:rsidR="00BC3CCE" w:rsidRPr="00505C51" w:rsidRDefault="00D13D6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was only one experimental group per experiment, thus group allocation was </w:t>
      </w:r>
      <w:r w:rsidR="00D57393">
        <w:rPr>
          <w:rFonts w:asciiTheme="minorHAnsi" w:hAnsiTheme="minorHAnsi"/>
          <w:sz w:val="22"/>
          <w:szCs w:val="22"/>
        </w:rPr>
        <w:t>un</w:t>
      </w:r>
      <w:r>
        <w:rPr>
          <w:rFonts w:asciiTheme="minorHAnsi" w:hAnsiTheme="minorHAnsi"/>
          <w:sz w:val="22"/>
          <w:szCs w:val="22"/>
        </w:rPr>
        <w:t>necessary.</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9008066" w:rsidR="00BC3CCE" w:rsidRPr="00505C51" w:rsidRDefault="00BF41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To facilitate replicability and transparency, the numerical data making up the bar plots for 1) response in MPC to visually presented stimuli 2) the response in MPC during memory recall 3) the split-half response in MPC during memory recall 4) the response in VTC during memory recall 5) the response in subcortical structures during memory recall and 6) the resting-state connectivity between MPC and EVC (i.e. the source data for the analyses reported in Figures </w:t>
      </w:r>
      <w:r w:rsidR="009A351C">
        <w:rPr>
          <w:rFonts w:asciiTheme="minorHAnsi" w:hAnsiTheme="minorHAnsi"/>
          <w:sz w:val="22"/>
          <w:szCs w:val="22"/>
        </w:rPr>
        <w:t>2, 4 &amp; 7, Supplementary Figures 2, 3 &amp; 4) are provided as Supplementary Data.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A4926" w14:textId="77777777" w:rsidR="00796CDD" w:rsidRDefault="00796CDD" w:rsidP="004215FE">
      <w:r>
        <w:separator/>
      </w:r>
    </w:p>
  </w:endnote>
  <w:endnote w:type="continuationSeparator" w:id="0">
    <w:p w14:paraId="3933F811" w14:textId="77777777" w:rsidR="00796CDD" w:rsidRDefault="00796CD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A98F6" w14:textId="77777777" w:rsidR="00796CDD" w:rsidRDefault="00796CDD" w:rsidP="004215FE">
      <w:r>
        <w:separator/>
      </w:r>
    </w:p>
  </w:footnote>
  <w:footnote w:type="continuationSeparator" w:id="0">
    <w:p w14:paraId="10FB9A11" w14:textId="77777777" w:rsidR="00796CDD" w:rsidRDefault="00796CD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1558"/>
    <w:rsid w:val="000D62F9"/>
    <w:rsid w:val="000F64EE"/>
    <w:rsid w:val="00100F97"/>
    <w:rsid w:val="001019CD"/>
    <w:rsid w:val="00112810"/>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52D2"/>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0491"/>
    <w:rsid w:val="007137E1"/>
    <w:rsid w:val="007434C2"/>
    <w:rsid w:val="00762B36"/>
    <w:rsid w:val="00763BA5"/>
    <w:rsid w:val="0076524F"/>
    <w:rsid w:val="00767B26"/>
    <w:rsid w:val="00795CED"/>
    <w:rsid w:val="00796CD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351C"/>
    <w:rsid w:val="009D0D28"/>
    <w:rsid w:val="009E4053"/>
    <w:rsid w:val="009E6ACE"/>
    <w:rsid w:val="009E7B13"/>
    <w:rsid w:val="00A11EC6"/>
    <w:rsid w:val="00A131BD"/>
    <w:rsid w:val="00A32E20"/>
    <w:rsid w:val="00A5368C"/>
    <w:rsid w:val="00A62582"/>
    <w:rsid w:val="00A62B52"/>
    <w:rsid w:val="00A73974"/>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416B"/>
    <w:rsid w:val="00C1184B"/>
    <w:rsid w:val="00C21D14"/>
    <w:rsid w:val="00C24CF7"/>
    <w:rsid w:val="00C42ECB"/>
    <w:rsid w:val="00C52A77"/>
    <w:rsid w:val="00C820B0"/>
    <w:rsid w:val="00CC6EF3"/>
    <w:rsid w:val="00CD6AEC"/>
    <w:rsid w:val="00CE6849"/>
    <w:rsid w:val="00CF4BBE"/>
    <w:rsid w:val="00CF6CB5"/>
    <w:rsid w:val="00D10224"/>
    <w:rsid w:val="00D13D68"/>
    <w:rsid w:val="00D44612"/>
    <w:rsid w:val="00D50299"/>
    <w:rsid w:val="00D57393"/>
    <w:rsid w:val="00D74320"/>
    <w:rsid w:val="00D779BF"/>
    <w:rsid w:val="00D83D45"/>
    <w:rsid w:val="00D93937"/>
    <w:rsid w:val="00DE207A"/>
    <w:rsid w:val="00DE2719"/>
    <w:rsid w:val="00DF1913"/>
    <w:rsid w:val="00E007B4"/>
    <w:rsid w:val="00E136CB"/>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71447AF-34E3-CC47-A6A7-45195259E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BAEC0-94F2-6141-A2A1-93F96DCC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7</cp:revision>
  <dcterms:created xsi:type="dcterms:W3CDTF">2019-04-10T13:57:00Z</dcterms:created>
  <dcterms:modified xsi:type="dcterms:W3CDTF">2019-04-11T16:40:00Z</dcterms:modified>
</cp:coreProperties>
</file>