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F127709" w:rsidR="00877644" w:rsidRPr="00125190" w:rsidRDefault="006268C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Fly transgenesis experiments are labor intensive by nature. They involve micro-injecti</w:t>
      </w:r>
      <w:r w:rsidR="00E149FC">
        <w:rPr>
          <w:rFonts w:asciiTheme="minorHAnsi" w:hAnsiTheme="minorHAnsi"/>
        </w:rPr>
        <w:t>on</w:t>
      </w:r>
      <w:r>
        <w:rPr>
          <w:rFonts w:asciiTheme="minorHAnsi" w:hAnsiTheme="minorHAnsi"/>
        </w:rPr>
        <w:t xml:space="preserve"> of 400-600 embryos</w:t>
      </w:r>
      <w:r w:rsidR="00D411EB">
        <w:rPr>
          <w:rFonts w:asciiTheme="minorHAnsi" w:hAnsiTheme="minorHAnsi"/>
        </w:rPr>
        <w:t xml:space="preserve"> individually</w:t>
      </w:r>
      <w:r>
        <w:rPr>
          <w:rFonts w:asciiTheme="minorHAnsi" w:hAnsiTheme="minorHAnsi"/>
        </w:rPr>
        <w:t>, selecting the surviving larv</w:t>
      </w:r>
      <w:r w:rsidR="00D411EB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e, </w:t>
      </w:r>
      <w:r w:rsidR="00D411EB">
        <w:rPr>
          <w:rFonts w:asciiTheme="minorHAnsi" w:hAnsiTheme="minorHAnsi"/>
        </w:rPr>
        <w:t xml:space="preserve">setting </w:t>
      </w:r>
      <w:r>
        <w:rPr>
          <w:rFonts w:asciiTheme="minorHAnsi" w:hAnsiTheme="minorHAnsi"/>
        </w:rPr>
        <w:t xml:space="preserve">single fly crosses of the resulting flies and establishing independent transgenic lines. </w:t>
      </w:r>
      <w:r w:rsidR="000B1151">
        <w:rPr>
          <w:rFonts w:asciiTheme="minorHAnsi" w:hAnsiTheme="minorHAnsi"/>
        </w:rPr>
        <w:t xml:space="preserve">On the other hand, targeting only </w:t>
      </w:r>
      <w:r w:rsidR="00E149FC">
        <w:rPr>
          <w:rFonts w:asciiTheme="minorHAnsi" w:hAnsiTheme="minorHAnsi"/>
        </w:rPr>
        <w:t>a single</w:t>
      </w:r>
      <w:r w:rsidR="000B1151">
        <w:rPr>
          <w:rFonts w:asciiTheme="minorHAnsi" w:hAnsiTheme="minorHAnsi"/>
        </w:rPr>
        <w:t xml:space="preserve"> locus with a transgenesis method can be misleading due to locus specific effects. </w:t>
      </w:r>
      <w:r>
        <w:rPr>
          <w:rFonts w:asciiTheme="minorHAnsi" w:hAnsiTheme="minorHAnsi"/>
        </w:rPr>
        <w:t>Hence, estimation of efficiency of methods that involve transgenesis efficiency typically rely on 5-10 targeted loci</w:t>
      </w:r>
      <w:r w:rsidR="000B1151">
        <w:rPr>
          <w:rFonts w:asciiTheme="minorHAnsi" w:hAnsiTheme="minorHAnsi"/>
        </w:rPr>
        <w:t>, a number empirically found to be meaningful to determine success rate</w:t>
      </w:r>
      <w:r w:rsidR="00E149FC">
        <w:rPr>
          <w:rFonts w:asciiTheme="minorHAnsi" w:hAnsiTheme="minorHAnsi"/>
        </w:rPr>
        <w:t xml:space="preserve"> based on our and others experience</w:t>
      </w:r>
      <w:r>
        <w:rPr>
          <w:rFonts w:asciiTheme="minorHAnsi" w:hAnsiTheme="minorHAnsi"/>
        </w:rPr>
        <w:t xml:space="preserve">. Indeed, the success rate of transgenesis we obtained with the CRIMIC method in the 10 selected loci (4/10) was in line with the overall success rate we have obtained while targeting more than 1000 different loci (~50% success rate). </w:t>
      </w:r>
      <w:r w:rsidR="000B1151">
        <w:rPr>
          <w:rFonts w:asciiTheme="minorHAnsi" w:hAnsiTheme="minorHAnsi"/>
        </w:rPr>
        <w:t xml:space="preserve">The information can be found in the introduction of the manuscript. </w:t>
      </w:r>
      <w:r w:rsidR="00E149FC">
        <w:rPr>
          <w:rFonts w:asciiTheme="minorHAnsi" w:hAnsiTheme="minorHAnsi"/>
        </w:rPr>
        <w:t xml:space="preserve">We typically test 5-10 genes and when the data are quite consistent between experiments </w:t>
      </w:r>
      <w:proofErr w:type="gramStart"/>
      <w:r w:rsidR="00E149FC">
        <w:rPr>
          <w:rFonts w:asciiTheme="minorHAnsi" w:hAnsiTheme="minorHAnsi"/>
        </w:rPr>
        <w:t>( see</w:t>
      </w:r>
      <w:proofErr w:type="gramEnd"/>
      <w:r w:rsidR="00E149FC">
        <w:rPr>
          <w:rFonts w:asciiTheme="minorHAnsi" w:hAnsiTheme="minorHAnsi"/>
        </w:rPr>
        <w:t xml:space="preserve"> data in this manuscript or in past publications (e.g. Li-Kroeger et al., 2018) there are no worries that the method is not generally applicable.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42E458E" w:rsidR="00B330BD" w:rsidRPr="00125190" w:rsidRDefault="000B115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injections were conducted once per construct. This is the meaningful success rate for a large</w:t>
      </w:r>
      <w:r w:rsidR="00311C94">
        <w:rPr>
          <w:rFonts w:asciiTheme="minorHAnsi" w:hAnsiTheme="minorHAnsi"/>
        </w:rPr>
        <w:t>-</w:t>
      </w:r>
      <w:r>
        <w:rPr>
          <w:rFonts w:asciiTheme="minorHAnsi" w:hAnsiTheme="minorHAnsi"/>
        </w:rPr>
        <w:t>scale gene tagging effort. We reported all the raw data for success rates without eliminating any positive or negative outliers.</w:t>
      </w:r>
      <w:r w:rsidR="00311C94">
        <w:rPr>
          <w:rFonts w:asciiTheme="minorHAnsi" w:hAnsiTheme="minorHAnsi"/>
        </w:rPr>
        <w:t xml:space="preserve"> All the raw data is available in the figures</w:t>
      </w:r>
      <w:r w:rsidR="00AC0B61">
        <w:rPr>
          <w:rFonts w:asciiTheme="minorHAnsi" w:hAnsiTheme="minorHAnsi"/>
        </w:rPr>
        <w:t xml:space="preserve"> (3,4,6)</w:t>
      </w:r>
      <w:r w:rsidR="00311C94">
        <w:rPr>
          <w:rFonts w:asciiTheme="minorHAnsi" w:hAnsiTheme="minorHAnsi"/>
        </w:rPr>
        <w:t xml:space="preserve"> and table</w:t>
      </w:r>
      <w:r w:rsidR="00AC0B61">
        <w:rPr>
          <w:rFonts w:asciiTheme="minorHAnsi" w:hAnsiTheme="minorHAnsi"/>
        </w:rPr>
        <w:t xml:space="preserve"> 1</w:t>
      </w:r>
      <w:r w:rsidR="00311C94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 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6EFFEB21" w:rsidR="00B124CC" w:rsidRPr="00AC0B61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2C09D2B" w:rsidR="0015519A" w:rsidRPr="00505C51" w:rsidRDefault="00AC0B6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Statistics and experimental design can be found in materials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70F8F8F" w:rsidR="00BC3CCE" w:rsidRPr="00505C51" w:rsidRDefault="00AC0B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 for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B25FDA5" w:rsidR="00BC3CCE" w:rsidRPr="00505C51" w:rsidRDefault="00AC0B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can be found in the figures 3, 4, 6 and table 1.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31856" w14:textId="77777777" w:rsidR="00D93F87" w:rsidRDefault="00D93F87" w:rsidP="004215FE">
      <w:r>
        <w:separator/>
      </w:r>
    </w:p>
  </w:endnote>
  <w:endnote w:type="continuationSeparator" w:id="0">
    <w:p w14:paraId="744B65C0" w14:textId="77777777" w:rsidR="00D93F87" w:rsidRDefault="00D93F8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149FC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0CCDE" w14:textId="77777777" w:rsidR="00D93F87" w:rsidRDefault="00D93F87" w:rsidP="004215FE">
      <w:r>
        <w:separator/>
      </w:r>
    </w:p>
  </w:footnote>
  <w:footnote w:type="continuationSeparator" w:id="0">
    <w:p w14:paraId="25E2EBDF" w14:textId="77777777" w:rsidR="00D93F87" w:rsidRDefault="00D93F8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1151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1C94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68C5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742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0B61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395C"/>
    <w:rsid w:val="00B5449A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11EB"/>
    <w:rsid w:val="00D44612"/>
    <w:rsid w:val="00D50299"/>
    <w:rsid w:val="00D74320"/>
    <w:rsid w:val="00D779BF"/>
    <w:rsid w:val="00D83D45"/>
    <w:rsid w:val="00D93937"/>
    <w:rsid w:val="00D93F87"/>
    <w:rsid w:val="00DE207A"/>
    <w:rsid w:val="00DE2719"/>
    <w:rsid w:val="00DF1913"/>
    <w:rsid w:val="00E007B4"/>
    <w:rsid w:val="00E149FC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55B7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9C6BD8D-B338-4009-8EAD-8B5C315B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18E1A9-68E3-43D2-A752-E1885EDF4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2019-09-06T06:41:00Z</dcterms:created>
  <dcterms:modified xsi:type="dcterms:W3CDTF">2019-09-06T06:41:00Z</dcterms:modified>
</cp:coreProperties>
</file>